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11108" w14:textId="1766D001" w:rsidR="007C0949" w:rsidRDefault="00F50101">
      <w:r w:rsidRPr="00F50101">
        <w:drawing>
          <wp:inline distT="0" distB="0" distL="0" distR="0" wp14:anchorId="5E4662A5" wp14:editId="63F58315">
            <wp:extent cx="8820150" cy="5876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20947" cy="5877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0949" w:rsidSect="00F5010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101"/>
    <w:rsid w:val="007C0949"/>
    <w:rsid w:val="00F50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4C697"/>
  <w15:chartTrackingRefBased/>
  <w15:docId w15:val="{45212D97-C0D3-4269-8BCB-BD66F19EC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Cheshire And Wirral Partnership NHS Foundation Trust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MALONE, Rachel (CHESHIRE AND WIRRAL PARTNERSHIP NHS FOUNDATION TRUST)</dc:creator>
  <cp:keywords/>
  <dc:description/>
  <cp:lastModifiedBy>MALONE, Rachel (CHESHIRE AND WIRRAL PARTNERSHIP NHS FOUNDATION TRUST)</cp:lastModifiedBy>
  <cp:revision>1</cp:revision>
  <dcterms:created xsi:type="dcterms:W3CDTF">2022-07-12T09:32:00Z</dcterms:created>
  <dcterms:modified xsi:type="dcterms:W3CDTF">2022-07-12T09:33:00Z</dcterms:modified>
</cp:coreProperties>
</file>